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B06" w:rsidRPr="00387B06" w:rsidRDefault="00387B06" w:rsidP="00387B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kern w:val="36"/>
          <w:sz w:val="40"/>
          <w:szCs w:val="40"/>
          <w:lang w:eastAsia="ru-RU"/>
        </w:rPr>
      </w:pPr>
      <w:r w:rsidRPr="00387B06">
        <w:rPr>
          <w:rFonts w:ascii="Times New Roman" w:eastAsia="Times New Roman" w:hAnsi="Times New Roman" w:cs="Times New Roman"/>
          <w:b/>
          <w:bCs/>
          <w:spacing w:val="1"/>
          <w:kern w:val="36"/>
          <w:sz w:val="40"/>
          <w:szCs w:val="40"/>
          <w:lang w:eastAsia="ru-RU"/>
        </w:rPr>
        <w:t>Материальная помощь военнослужащим, получившим ранение</w:t>
      </w:r>
    </w:p>
    <w:p w:rsid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соответствии с постановлением Совета министров Республики Крым от 25.03.2022 № 169 (ред. от 10.05.2023) "Об утверждении Порядка осуществления выплаты разовой материальной помощи гражданам, принимавшим участие (содействовавшим выполнению задач) в специальной военной операции, получившим увечье (вред здоровью) или погибшим (умершим) во время проведения специальной военной операции, членам их семей"  военнослужащим, лицам, проходившим службу в войсках национальной гвардии Российской Федерации и имеющим специальное звание полиции, принимавшим участие в специальной военной операции и получившим травмы, ранения, контузии, увечья, назначается и выплачивается разовая материальная помощь.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Право на разовую материальную помощь имеют: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1. военнослужащие (далее - военнослужащий), лица, проходившие службу в войсках национальной гвардии Российской Федерации и имеющие специальное звание полиции (далее - сотрудник </w:t>
      </w:r>
      <w:proofErr w:type="spell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Росгвардии</w:t>
      </w:r>
      <w:proofErr w:type="spell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), лица, проходившие службу в добровольческих формированиях, созданных органами государственной власти Российской Федерации для выполнения отдельных задач в области обороны, содействующих выполнению задач, возложенных на Вооруженные Силы Российской Федерации (далее - участник добровольческого формирования), принимавшие участие в специальной военной операции на территориях Украины, Донецкой Народной Республики, Луганской Народной Республики с 24 февраля 2022 года, на территориях Запорожской и Херсонской областей с 30 сентября 2022 года (далее - специальная военная операция), члены их семей;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2. граждане, направлявшиеся для обеспечения выполнения задач по фортификационному оборудованию рубежей и позиций в зоне специальной военной операции, на приграничных территориях (далее - гражданин, выполнявший задачи по фортификационному оборудованию рубежей), члены их семей;</w:t>
      </w:r>
    </w:p>
    <w:p w:rsid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3. граждане, заключившие контракт с частной военной компанией "Вагнер" (далее - сотрудник "Вагнер"), принимавшие участие в специальной военной операции, члены их семей.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Разовая материальная помощь предоставляется: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 1. военнослужащим, сотрудникам </w:t>
      </w:r>
      <w:proofErr w:type="spell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Росгвардии</w:t>
      </w:r>
      <w:proofErr w:type="spell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участникам добровольческого формирования, получившим легкое увечье (ранение, контузию, травму) в результате участия в специальной военной операции, входящее в </w:t>
      </w:r>
      <w:hyperlink r:id="rId4" w:history="1">
        <w:r w:rsidRPr="00387B06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lang w:eastAsia="ru-RU"/>
          </w:rPr>
          <w:t>раздел II</w:t>
        </w:r>
      </w:hyperlink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Перечня увечий (ранений, травм, контузий), относящихся к тяжелым или легким,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федеральной противопожарной службы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Федерации, лиц, проходящих службу в войсках национальной гвардии Российской Федерации и имеющих специальные звания полиции, утвержденного постановлением Правительства Российской Федерации от 29 июля 1998 года N 855 (далее - Перечень), а также гражданам, выполнявшим задачи по фортификационному оборудованию рубежей, сотрудникам "Вагнер", получившим легкий или средний вред здоровью, в размере 100000 (сто тысяч) рублей;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2. военнослужащим, сотрудникам </w:t>
      </w:r>
      <w:proofErr w:type="spell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Росгвардии</w:t>
      </w:r>
      <w:proofErr w:type="spell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участникам добровольческого формирования, получившим тяжелое увечье (ранение, контузию, травму) в результате участия в специальной военной операции, входящее в </w:t>
      </w:r>
      <w:hyperlink r:id="rId5" w:history="1">
        <w:r w:rsidRPr="00387B06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lang w:eastAsia="ru-RU"/>
          </w:rPr>
          <w:t>раздел I</w:t>
        </w:r>
      </w:hyperlink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 Перечня, а также гражданам, </w:t>
      </w: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>выполнявшим задачи по фортификационному оборудованию рубежей, сотрудникам "Вагнер", получившим тяжкий вред здоровью, в размере 200000 (двести тысяч) рублей;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3. военнослужащим, сотрудникам </w:t>
      </w:r>
      <w:proofErr w:type="spell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Росгвардии</w:t>
      </w:r>
      <w:proofErr w:type="spell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участникам добровольческого формирования, получившим увечье (ранение, контузию, травму) в результате участия в специальной военной операции, не входящее в Перечень, в размере 100000 (сто тысяч) рублей;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Разовая материальная помощь предоставляется при условии места жительства или места пребывания заявителя на территории Республики Крым и при условии неполучения аналогичной выплаты по месту жительства (или пребывания) в ином субъекте Российской Федерации.</w:t>
      </w:r>
    </w:p>
    <w:p w:rsid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Разовая материальная помощь, назначается и выплачивается на основании заявления о назначении разовой материальной помощи по утвержденной форме, поданного в структурное подразделение управления по предоставлению мер социальной поддержки и контролю департамента методологии, контроля и организации мер социальной поддержки Министерства труда и социальной защиты Республики Крым (</w:t>
      </w:r>
      <w:hyperlink r:id="rId6" w:history="1">
        <w:r w:rsidRPr="00387B06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lang w:eastAsia="ru-RU"/>
          </w:rPr>
          <w:t>Территориальный отдел Министерства</w:t>
        </w:r>
      </w:hyperlink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) по месту прохождения военнослужащим, сотрудником </w:t>
      </w:r>
      <w:proofErr w:type="spell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Росгвардии</w:t>
      </w:r>
      <w:proofErr w:type="spell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военной службы либо по месту жительства (месту пребывания) военнослужащего, сотрудника </w:t>
      </w:r>
      <w:proofErr w:type="spell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Росгвардии</w:t>
      </w:r>
      <w:proofErr w:type="spell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387B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 заявлению прилагаются: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1) документ, удостоверяющий личность заявителя;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2) документ, подтверждающий регистрацию по месту жительства (месту пребывания) на территории Республики Крым военнослужащего, сотрудника </w:t>
      </w:r>
      <w:proofErr w:type="spell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Росгвардии</w:t>
      </w:r>
      <w:proofErr w:type="spell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участника добровольческого формирования, гражданина, выполнявшего задачи по фортификационному оборудованию рубежей, сотрудника "Вагнер" или регистрацию по месту дислокации воинской части, территориального органа </w:t>
      </w:r>
      <w:proofErr w:type="spell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Росгвардии</w:t>
      </w:r>
      <w:proofErr w:type="spell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на территории Республики Крым (предоставляется военнослужащими, сотрудниками </w:t>
      </w:r>
      <w:proofErr w:type="spell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Росгвардии</w:t>
      </w:r>
      <w:proofErr w:type="spell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);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3) документ, подтверждающий направление граждан для обеспечения выполнения задач по фортификационному оборудованию рубежей и позиций в зоне специальной военной операции, на приграничных территориях (предоставляется гражданами, выполнявшими задачи по фортификационному оборудованию рубежей);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4) документ, подтверждающий участие военнослужащего, сотрудника </w:t>
      </w:r>
      <w:proofErr w:type="spell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Росгвардии</w:t>
      </w:r>
      <w:proofErr w:type="spell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участника добровольческого формирования, сотрудника "Вагнер" в специальной военной операции;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5) документ, удостоверяющий личность представителя по доверенности, и доверенность;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6) согласие на обработку персональных данных по форме согласно приложению 3 к Порядку (далее - согласие на обработку персональных данных);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7) реквизиты лицевого счета заявителя, открытого в кредитной организации для перечисления денежных средств.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Военнослужащие, сотрудники </w:t>
      </w:r>
      <w:proofErr w:type="spell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Росгвардии</w:t>
      </w:r>
      <w:proofErr w:type="spell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участники добровольческого формирования, указанные в подпунктах 1 - 2, дополнительно предоставляют копию (с одновременным предъявлением оригинала для обозрения либо заверенную в установленном порядке) справки военно-врачебной комиссии о получении увечий (ранений, травм, контузий) с указанием степени тяжести в соответствии с Перечнем.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Военнослужащие, сотрудники </w:t>
      </w:r>
      <w:proofErr w:type="spell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Росгвардии</w:t>
      </w:r>
      <w:proofErr w:type="spell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участники добровольческого формирования, указанные в подпункте 3 дополнительно предоставляют копию (с одновременным предъявлением оригинала для обозрения либо заверенную в установленном порядке) справки военно-врачебной комиссии или справки военно-медицинской организации (воинской части) о получении увечий (ранений, травм, контузий) без указания степени тяжести.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 xml:space="preserve">Граждане, выполнявшие задачи по фортификационному оборудованию рубежей, указанные в подпунктах.1 и </w:t>
      </w:r>
      <w:proofErr w:type="gramStart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  настоящего</w:t>
      </w:r>
      <w:proofErr w:type="gramEnd"/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Порядка, дополнительно предоставляют копию (с одновременным предъявлением оригинала для обозрения либо заверенную в установленном порядке):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постановления следователя (дознавателя, судьи) или определения суда о признании граждан пострадавшими (потерпевшими) в связи с получением вреда здоровью в результате выполнения задач по фортификационному оборудованию рубежей;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заключения судебно-медицинской экспертизы о степени тяжести вреда, причиненного здоровью гражданина, выполнявшего задачи по фортификационному оборудованию рубежей.</w:t>
      </w:r>
    </w:p>
    <w:p w:rsidR="00387B06" w:rsidRPr="00387B06" w:rsidRDefault="00387B06" w:rsidP="00387B0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87B0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Сотрудники "Вагнер", указанные в подпунктах 1 и 2 дополнительно предоставляют копию (с одновременным предъявлением оригинала для обозрения либо заверенную в установленном порядке) заключения судебно-медицинской экспертизы о степени тяжести вреда, причиненного здоровью сотрудника "Вагнер" в результате участия в специальной военной операции.</w:t>
      </w:r>
    </w:p>
    <w:p w:rsidR="00387B06" w:rsidRPr="00387B06" w:rsidRDefault="00387B06">
      <w:pPr>
        <w:rPr>
          <w:rFonts w:ascii="Times New Roman" w:hAnsi="Times New Roman" w:cs="Times New Roman"/>
        </w:rPr>
      </w:pPr>
      <w:r w:rsidRPr="00387B06">
        <w:rPr>
          <w:rFonts w:ascii="Times New Roman" w:hAnsi="Times New Roman" w:cs="Times New Roman"/>
        </w:rPr>
        <w:br w:type="page"/>
      </w:r>
    </w:p>
    <w:p w:rsidR="00387B06" w:rsidRPr="00387B06" w:rsidRDefault="00387B06" w:rsidP="00387B06">
      <w:pPr>
        <w:pStyle w:val="1"/>
        <w:spacing w:before="0" w:beforeAutospacing="0" w:after="0" w:afterAutospacing="0"/>
        <w:jc w:val="center"/>
        <w:rPr>
          <w:spacing w:val="1"/>
          <w:sz w:val="40"/>
          <w:szCs w:val="40"/>
        </w:rPr>
      </w:pPr>
      <w:r w:rsidRPr="00387B06">
        <w:rPr>
          <w:spacing w:val="1"/>
          <w:sz w:val="40"/>
          <w:szCs w:val="40"/>
        </w:rPr>
        <w:lastRenderedPageBreak/>
        <w:t xml:space="preserve">Меры поддержки </w:t>
      </w:r>
      <w:bookmarkStart w:id="0" w:name="_GoBack"/>
      <w:bookmarkEnd w:id="0"/>
      <w:r w:rsidRPr="00387B06">
        <w:rPr>
          <w:spacing w:val="1"/>
          <w:sz w:val="40"/>
          <w:szCs w:val="40"/>
        </w:rPr>
        <w:t>мобилизованным и заключившим контракт</w:t>
      </w:r>
    </w:p>
    <w:p w:rsidR="00387B06" w:rsidRPr="00387B06" w:rsidRDefault="00387B06" w:rsidP="00387B06">
      <w:pPr>
        <w:pStyle w:val="a3"/>
        <w:spacing w:before="0" w:after="0"/>
        <w:jc w:val="both"/>
        <w:rPr>
          <w:spacing w:val="1"/>
        </w:rPr>
      </w:pPr>
      <w:r w:rsidRPr="00387B06">
        <w:rPr>
          <w:rStyle w:val="a4"/>
          <w:spacing w:val="1"/>
        </w:rPr>
        <w:t>Для граждан Российской Федерации, призванных на военную службу в Вооруженные Силы Российской Федерации по мобилизации, а также зачисленным в войсковые части Республики Крым и города федерального значения Севастополя и заключившим с 21.09.2022 контракт о прохождении военной службы</w:t>
      </w:r>
    </w:p>
    <w:p w:rsidR="00387B06" w:rsidRPr="00387B06" w:rsidRDefault="00387B06" w:rsidP="00387B06">
      <w:pPr>
        <w:pStyle w:val="a3"/>
        <w:jc w:val="both"/>
        <w:rPr>
          <w:spacing w:val="1"/>
        </w:rPr>
      </w:pPr>
      <w:r w:rsidRPr="00387B06">
        <w:rPr>
          <w:spacing w:val="1"/>
        </w:rPr>
        <w:t> </w:t>
      </w:r>
    </w:p>
    <w:p w:rsidR="00387B06" w:rsidRPr="00387B06" w:rsidRDefault="00387B06" w:rsidP="00387B06">
      <w:pPr>
        <w:pStyle w:val="a3"/>
        <w:spacing w:before="0" w:after="0"/>
        <w:jc w:val="both"/>
        <w:rPr>
          <w:spacing w:val="1"/>
        </w:rPr>
      </w:pPr>
      <w:r w:rsidRPr="00387B06">
        <w:rPr>
          <w:rStyle w:val="a4"/>
          <w:spacing w:val="1"/>
        </w:rPr>
        <w:t>ЕДИНОРАЗОВАЯ ДЕНЕЖНАЯ ВЫПЛАТА</w:t>
      </w:r>
    </w:p>
    <w:p w:rsidR="00387B06" w:rsidRPr="00387B06" w:rsidRDefault="00387B06" w:rsidP="00387B06">
      <w:pPr>
        <w:pStyle w:val="a3"/>
        <w:jc w:val="both"/>
        <w:rPr>
          <w:spacing w:val="1"/>
        </w:rPr>
      </w:pPr>
      <w:r w:rsidRPr="00387B06">
        <w:rPr>
          <w:spacing w:val="1"/>
        </w:rPr>
        <w:t> В соответствии с Указом Главы Республики Крым и постановлением Совета министров Республики Крым от 23.09.2022 (в редакции по состоянию на 19.10.2022) в Республике Крым гражданам Российской Федерации, призванным на военную службу в Вооруженные Силы Российской Федерации по мобилизации, а также зачисленным в войсковые части Республики Крым и города федерального значения Севастополя и заключившим с 21.09.2022 контракт о прохождении военной службы, предоставляется единовременная денежная выплата в размере 200000 рублей.</w:t>
      </w:r>
    </w:p>
    <w:p w:rsidR="00387B06" w:rsidRPr="00387B06" w:rsidRDefault="00387B06" w:rsidP="00387B06">
      <w:pPr>
        <w:pStyle w:val="a3"/>
        <w:spacing w:before="0" w:after="0"/>
        <w:jc w:val="both"/>
        <w:rPr>
          <w:spacing w:val="1"/>
        </w:rPr>
      </w:pPr>
      <w:r w:rsidRPr="00387B06">
        <w:rPr>
          <w:spacing w:val="1"/>
        </w:rPr>
        <w:t>Выплата назначается Министерством на основании заявления военнослужащего с приложением копии документа, удостоверяющего личность и место жительства на территории Республики Крым, после подтверждения восковой частью информации о зачислении гражданина на военную службу.</w:t>
      </w:r>
      <w:r w:rsidRPr="00387B06">
        <w:rPr>
          <w:spacing w:val="1"/>
        </w:rPr>
        <w:br/>
      </w:r>
      <w:r w:rsidRPr="00387B06">
        <w:rPr>
          <w:spacing w:val="1"/>
        </w:rPr>
        <w:br/>
        <w:t>Бланк заявления имеется в свободном доступе в сети Интернет  на портале Правительства Республики Крым в разделе «Постановления Совета министров Республики Крым» </w:t>
      </w:r>
      <w:hyperlink r:id="rId7" w:history="1">
        <w:r w:rsidRPr="00387B06">
          <w:rPr>
            <w:rStyle w:val="a5"/>
            <w:spacing w:val="1"/>
            <w:u w:val="none"/>
          </w:rPr>
          <w:t>https://rk.gov.ru/documents/d8e01747-cda4-4da1-925e-831320480e29</w:t>
        </w:r>
      </w:hyperlink>
    </w:p>
    <w:p w:rsidR="00387B06" w:rsidRPr="00387B06" w:rsidRDefault="00387B06" w:rsidP="00387B06">
      <w:pPr>
        <w:pStyle w:val="a3"/>
        <w:jc w:val="both"/>
        <w:rPr>
          <w:spacing w:val="1"/>
        </w:rPr>
      </w:pPr>
      <w:r w:rsidRPr="00387B06">
        <w:rPr>
          <w:spacing w:val="1"/>
        </w:rPr>
        <w:t> </w:t>
      </w:r>
    </w:p>
    <w:p w:rsidR="00387B06" w:rsidRPr="00387B06" w:rsidRDefault="00387B06" w:rsidP="00387B06">
      <w:pPr>
        <w:pStyle w:val="a3"/>
        <w:spacing w:before="0" w:after="0"/>
        <w:jc w:val="both"/>
        <w:rPr>
          <w:spacing w:val="1"/>
        </w:rPr>
      </w:pPr>
      <w:r w:rsidRPr="00387B06">
        <w:rPr>
          <w:rStyle w:val="a4"/>
          <w:spacing w:val="1"/>
        </w:rPr>
        <w:t>ЗЕМЕЛЬНЫЕ</w:t>
      </w:r>
      <w:r w:rsidRPr="00387B06">
        <w:rPr>
          <w:spacing w:val="1"/>
        </w:rPr>
        <w:t> </w:t>
      </w:r>
      <w:r w:rsidRPr="00387B06">
        <w:rPr>
          <w:rStyle w:val="a4"/>
          <w:spacing w:val="1"/>
        </w:rPr>
        <w:t>УЧАСТКИ</w:t>
      </w:r>
    </w:p>
    <w:p w:rsidR="00387B06" w:rsidRPr="00387B06" w:rsidRDefault="00387B06" w:rsidP="00387B06">
      <w:pPr>
        <w:pStyle w:val="a3"/>
        <w:jc w:val="both"/>
        <w:rPr>
          <w:spacing w:val="1"/>
        </w:rPr>
      </w:pPr>
      <w:r w:rsidRPr="00387B06">
        <w:rPr>
          <w:spacing w:val="1"/>
        </w:rPr>
        <w:t xml:space="preserve"> Министерством имущественных и земельных отношений Республики Крым подготовлен </w:t>
      </w:r>
      <w:proofErr w:type="spellStart"/>
      <w:r w:rsidRPr="00387B06">
        <w:rPr>
          <w:spacing w:val="1"/>
        </w:rPr>
        <w:t>соотвествующий</w:t>
      </w:r>
      <w:proofErr w:type="spellEnd"/>
      <w:r w:rsidRPr="00387B06">
        <w:rPr>
          <w:spacing w:val="1"/>
        </w:rPr>
        <w:t xml:space="preserve"> раздел на портале Правительства Республики Крым, ознакомиться можно по ссылке: </w:t>
      </w:r>
      <w:hyperlink r:id="rId8" w:history="1">
        <w:r w:rsidRPr="00387B06">
          <w:rPr>
            <w:rStyle w:val="a5"/>
            <w:spacing w:val="1"/>
            <w:u w:val="none"/>
          </w:rPr>
          <w:t>https://mzem.rk.gov.ru/structure/9f2eacda-c9d6-49f0-950f-b853dd2842ce</w:t>
        </w:r>
      </w:hyperlink>
    </w:p>
    <w:p w:rsidR="00807BDF" w:rsidRPr="00387B06" w:rsidRDefault="00807BDF">
      <w:pPr>
        <w:rPr>
          <w:rFonts w:ascii="Times New Roman" w:hAnsi="Times New Roman" w:cs="Times New Roman"/>
        </w:rPr>
      </w:pPr>
    </w:p>
    <w:sectPr w:rsidR="00807BDF" w:rsidRPr="0038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06"/>
    <w:rsid w:val="00387B06"/>
    <w:rsid w:val="0080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F1C76-9218-4304-BEE5-225BCCF0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7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B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B06"/>
    <w:rPr>
      <w:b/>
      <w:bCs/>
    </w:rPr>
  </w:style>
  <w:style w:type="character" w:styleId="a5">
    <w:name w:val="Hyperlink"/>
    <w:basedOn w:val="a0"/>
    <w:uiPriority w:val="99"/>
    <w:semiHidden/>
    <w:unhideWhenUsed/>
    <w:rsid w:val="00387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9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9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8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3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1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em.rk.gov.ru/structure/9f2eacda-c9d6-49f0-950f-b853dd2842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k.gov.ru/documents/d8e01747-cda4-4da1-925e-831320480e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rud.rk.gov.ru/structure/dcfe3dbc-55bc-4d76-adac-eb12bed121c0" TargetMode="External"/><Relationship Id="rId5" Type="http://schemas.openxmlformats.org/officeDocument/2006/relationships/hyperlink" Target="consultantplus://offline/ref=EE31E8AFCDA438D648B2B3FA7EEF7A8500034B170A1D6DE793B20620AA3EDCDA364C47E4D78DB4A524050316D0606D38417E9AEFB26F5BA3qCh0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E31E8AFCDA438D648B2B3FA7EEF7A8500034B170A1D6DE793B20620AA3EDCDA364C47E4D78DB5A12F050316D0606D38417E9AEFB26F5BA3qCh0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РВУЗ МАН</dc:creator>
  <cp:keywords/>
  <dc:description/>
  <cp:lastModifiedBy>РВУЗ МАН</cp:lastModifiedBy>
  <cp:revision>1</cp:revision>
  <dcterms:created xsi:type="dcterms:W3CDTF">2024-02-28T09:28:00Z</dcterms:created>
  <dcterms:modified xsi:type="dcterms:W3CDTF">2024-02-28T09:31:00Z</dcterms:modified>
</cp:coreProperties>
</file>